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C3EB6" w:rsidRPr="00F72849" w:rsidRDefault="006C3EB6" w:rsidP="006C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06-2/299-18</w:t>
      </w:r>
    </w:p>
    <w:p w:rsidR="006C3EB6" w:rsidRPr="00F72849" w:rsidRDefault="0060301E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2018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6C3EB6" w:rsidRDefault="006C3EB6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6A1E" w:rsidRPr="00F72849" w:rsidRDefault="00246A1E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33. СЕДНИЦЕ ОДБОРА ЗА ПРИВРЕДУ, РЕГИОНАЛНИ РАЗВОЈ, ТРГОВИНУ, ТУРИЗАМ И ЕНЕРГЕТИКУ, ОДРЖАНЕ 26. НОВЕМБРА 2018. ГОДИНЕ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 w:rsidR="00F7284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почела у 11 часова и </w:t>
      </w:r>
      <w:r w:rsidR="00F72849" w:rsidRPr="00F7284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 Станислава Јаношевић, Студенка Ковачевић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Бојанић, Снежана Р. Петровић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Чарапић, Томислав Љубеновић, Горица Гајић, Војислав Вујић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чланова Одбора: Милимир Вујадиновић (заменик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 Јелене Мијатовић)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Новице Тончева).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Бранислав Михајловић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 Николић, Владимир Маринковић, Иван Костић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финансија: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>авица Савичић, државни секретар и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Дарко Комненић, в.д. помоћника министра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привреде: Душан Вучковић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A82C9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Уг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>рчић, помоћници министра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Бановић, помоћник директора за правне послове у Агенцији за лиценцирање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стечајних управника, Сања Поповић, руководилац Одељења у Развојној агенцији Србије</w:t>
      </w:r>
      <w:r w:rsidR="00A82C94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A82C94" w:rsidRPr="00A82C94">
        <w:rPr>
          <w:rFonts w:ascii="Times New Roman" w:hAnsi="Times New Roman" w:cs="Times New Roman"/>
          <w:sz w:val="24"/>
          <w:szCs w:val="24"/>
          <w:lang w:val="sr-Cyrl-RS"/>
        </w:rPr>
        <w:t>Вишња Шу</w:t>
      </w:r>
      <w:r w:rsidR="002E1AA4">
        <w:rPr>
          <w:rFonts w:ascii="Times New Roman" w:hAnsi="Times New Roman" w:cs="Times New Roman"/>
          <w:sz w:val="24"/>
          <w:szCs w:val="24"/>
          <w:lang w:val="sr-Cyrl-RS"/>
        </w:rPr>
        <w:t>ндић, правни саветник за имплеме</w:t>
      </w:r>
      <w:r w:rsidR="00A82C94" w:rsidRPr="00A82C94">
        <w:rPr>
          <w:rFonts w:ascii="Times New Roman" w:hAnsi="Times New Roman" w:cs="Times New Roman"/>
          <w:sz w:val="24"/>
          <w:szCs w:val="24"/>
          <w:lang w:val="sr-Cyrl-RS"/>
        </w:rPr>
        <w:t>нтацију стратешких улагања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Министарства рударства и енергетике: мр Мирјана Филиповић, државни секретар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Олга 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>Антић Миочиновић, виши саветник;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телекомуникација: Р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>ената Пинџо, помоћник министра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Добријевић, и С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>ветлана Стојковић, начелници Одељења</w:t>
      </w:r>
      <w:r w:rsidR="00614AE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 је већином гласова утврдио следећи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F72849" w:rsidRDefault="006C3EB6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72849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6C3EB6" w:rsidRPr="00F72849" w:rsidRDefault="006C3EB6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49" w:rsidRPr="0080401F" w:rsidRDefault="00F72849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2517EF">
        <w:rPr>
          <w:rFonts w:cs="Times New Roman"/>
          <w:sz w:val="24"/>
          <w:szCs w:val="24"/>
          <w:lang w:val="sr-Cyrl-RS"/>
        </w:rPr>
        <w:t xml:space="preserve">Разматрање </w:t>
      </w:r>
      <w:r>
        <w:rPr>
          <w:rFonts w:cs="Times New Roman"/>
          <w:sz w:val="24"/>
          <w:szCs w:val="24"/>
          <w:lang w:val="sr-Cyrl-RS"/>
        </w:rPr>
        <w:t>Предлога</w:t>
      </w:r>
      <w:r w:rsidRPr="002517EF">
        <w:rPr>
          <w:rFonts w:cs="Times New Roman"/>
          <w:sz w:val="24"/>
          <w:szCs w:val="24"/>
          <w:lang w:val="sr-Cyrl-RS"/>
        </w:rPr>
        <w:t xml:space="preserve"> закона о буџету Републике Србије за 2019.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 (број 400-3601/18 од 23. новембра 2018. године);</w:t>
      </w:r>
    </w:p>
    <w:p w:rsidR="00F72849" w:rsidRPr="00BF1565" w:rsidRDefault="00F72849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cs="Times New Roman"/>
          <w:sz w:val="24"/>
          <w:szCs w:val="24"/>
          <w:lang w:val="sr-Cyrl-RS"/>
        </w:rPr>
        <w:t xml:space="preserve"> закона о измени и допунама Закона о привредним друштвима,  који је поднела Влада (број 023-3526/18 од 19. новембра 2018. године</w:t>
      </w:r>
      <w:r>
        <w:rPr>
          <w:rFonts w:cs="Times New Roman"/>
          <w:sz w:val="24"/>
          <w:szCs w:val="24"/>
          <w:lang w:val="sr-Cyrl-RS"/>
        </w:rPr>
        <w:t>)</w:t>
      </w:r>
      <w:r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80401F" w:rsidRDefault="00F72849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cs="Times New Roman"/>
          <w:sz w:val="24"/>
          <w:szCs w:val="24"/>
          <w:lang w:val="sr-Cyrl-RS"/>
        </w:rPr>
        <w:t xml:space="preserve"> закона о изменама и допунама Закона о стечају, који је поднела Влада (број 422-3447/</w:t>
      </w:r>
      <w:r>
        <w:rPr>
          <w:rFonts w:cs="Times New Roman"/>
          <w:sz w:val="24"/>
          <w:szCs w:val="24"/>
          <w:lang w:val="sr-Cyrl-RS"/>
        </w:rPr>
        <w:t>18 од 9. новембра 2018. године)</w:t>
      </w:r>
      <w:r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BF1565" w:rsidRDefault="00F72849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Разматрање Предлога</w:t>
      </w:r>
      <w:r w:rsidRPr="00BF1565">
        <w:rPr>
          <w:rFonts w:cs="Times New Roman"/>
          <w:sz w:val="24"/>
          <w:szCs w:val="24"/>
          <w:lang w:val="sr-Cyrl-RS"/>
        </w:rPr>
        <w:t xml:space="preserve"> закона о изменама и допунама Закона о улагањима, који је поднела Влада (број 011-3604/18 од 23. новембра 2018. године</w:t>
      </w:r>
      <w:r>
        <w:rPr>
          <w:rFonts w:cs="Times New Roman"/>
          <w:sz w:val="24"/>
          <w:szCs w:val="24"/>
          <w:lang w:val="sr-Cyrl-RS"/>
        </w:rPr>
        <w:t>)</w:t>
      </w:r>
      <w:r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BF1565" w:rsidRDefault="00F72849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cs="Times New Roman"/>
          <w:sz w:val="24"/>
          <w:szCs w:val="24"/>
          <w:lang w:val="sr-Cyrl-RS"/>
        </w:rPr>
        <w:t xml:space="preserve"> закона о стицању права својине на земљишту, објектима и водовима Рударско-топионичарског басена РТБ Бор д.о.о, Бор,  који је поднела Влада (број 011-3566/1</w:t>
      </w:r>
      <w:r>
        <w:rPr>
          <w:rFonts w:cs="Times New Roman"/>
          <w:sz w:val="24"/>
          <w:szCs w:val="24"/>
          <w:lang w:val="sr-Cyrl-RS"/>
        </w:rPr>
        <w:t>8 од 21. новембра 2018. године)</w:t>
      </w:r>
      <w:r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2517EF" w:rsidRDefault="00F72849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cs="Times New Roman"/>
          <w:sz w:val="24"/>
          <w:szCs w:val="24"/>
          <w:lang w:val="sr-Cyrl-RS"/>
        </w:rPr>
        <w:t xml:space="preserve">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који је поднела Влада (број 011-3616/18 од 23. новембра 2018. године</w:t>
      </w:r>
      <w:r>
        <w:rPr>
          <w:rFonts w:cs="Times New Roman"/>
          <w:sz w:val="24"/>
          <w:szCs w:val="24"/>
          <w:lang w:val="sr-Cyrl-RS"/>
        </w:rPr>
        <w:t>);</w:t>
      </w:r>
    </w:p>
    <w:p w:rsidR="001B1460" w:rsidRPr="00A4642F" w:rsidRDefault="00F72849" w:rsidP="00F72849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 w:rsidRPr="00F72849">
        <w:rPr>
          <w:rFonts w:cs="Times New Roman"/>
          <w:sz w:val="24"/>
          <w:szCs w:val="24"/>
          <w:lang w:val="sr-Cyrl-RS"/>
        </w:rPr>
        <w:t>Разно</w:t>
      </w:r>
      <w:r>
        <w:rPr>
          <w:rFonts w:cs="Times New Roman"/>
          <w:sz w:val="24"/>
          <w:szCs w:val="24"/>
        </w:rPr>
        <w:t>.</w:t>
      </w:r>
    </w:p>
    <w:p w:rsidR="00A4642F" w:rsidRPr="00F72849" w:rsidRDefault="00A4642F" w:rsidP="00A4642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1B1460" w:rsidRPr="00F72849" w:rsidRDefault="00051F75" w:rsidP="00051F7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Пре разматрања тачака утврђеног дневног реда, Одбор је већином гласова усвојио записнике </w:t>
      </w:r>
      <w:r w:rsidRPr="00F72849">
        <w:rPr>
          <w:rFonts w:ascii="Times New Roman" w:hAnsi="Times New Roman" w:cs="Times New Roman"/>
          <w:sz w:val="24"/>
          <w:szCs w:val="24"/>
        </w:rPr>
        <w:t>31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F72849">
        <w:rPr>
          <w:rFonts w:ascii="Times New Roman" w:hAnsi="Times New Roman" w:cs="Times New Roman"/>
          <w:sz w:val="24"/>
          <w:szCs w:val="24"/>
        </w:rPr>
        <w:t>32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. седнице Одбора.</w:t>
      </w:r>
    </w:p>
    <w:p w:rsidR="00A4642F" w:rsidRDefault="00D717D9" w:rsidP="00D71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="00A4642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8156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буџету Републике Србије за 2019.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</w:t>
      </w:r>
    </w:p>
    <w:p w:rsidR="00E94DE7" w:rsidRDefault="00E94DE7" w:rsidP="0024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Одбор је размотрио Предлог закона о буџету Републике Србије за 2018. годину у складу са својим делокругом и</w:t>
      </w:r>
      <w:r w:rsidR="007639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173. Став 1. Посло</w:t>
      </w:r>
      <w:r w:rsidR="00763937">
        <w:rPr>
          <w:rFonts w:ascii="Times New Roman" w:hAnsi="Times New Roman" w:cs="Times New Roman"/>
          <w:sz w:val="24"/>
          <w:szCs w:val="24"/>
          <w:lang w:val="sr-Cyrl-RS"/>
        </w:rPr>
        <w:t>вника Народне скупштине, поднео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Одбору за финансије, републички буџет и контролу трошења јавних средстава.</w:t>
      </w:r>
    </w:p>
    <w:p w:rsidR="000222E9" w:rsidRDefault="00D3006A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Славица Савичић, државни секретар у Министарству финансија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 је да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буџету за 2019. годину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предвиђени укупни приходи од 1</w:t>
      </w:r>
      <w:r w:rsidR="00CF2790">
        <w:rPr>
          <w:rFonts w:ascii="Times New Roman" w:hAnsi="Times New Roman" w:cs="Times New Roman"/>
          <w:sz w:val="24"/>
          <w:szCs w:val="24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246,2 милијарде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 расходи у висини 1</w:t>
      </w:r>
      <w:r w:rsidR="00CF2790">
        <w:rPr>
          <w:rFonts w:ascii="Times New Roman" w:hAnsi="Times New Roman" w:cs="Times New Roman"/>
          <w:sz w:val="24"/>
          <w:szCs w:val="24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269,1 милијарда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што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дефицит од </w:t>
      </w:r>
      <w:r w:rsidRPr="00F72849">
        <w:rPr>
          <w:rFonts w:ascii="Times New Roman" w:hAnsi="Times New Roman" w:cs="Times New Roman"/>
          <w:sz w:val="24"/>
          <w:szCs w:val="24"/>
        </w:rPr>
        <w:t xml:space="preserve">22,9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милијарди ди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нара, односно 0,4% БДП-а. П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ројекција приход</w:t>
      </w:r>
      <w:r>
        <w:rPr>
          <w:rFonts w:ascii="Times New Roman" w:hAnsi="Times New Roman" w:cs="Times New Roman"/>
          <w:sz w:val="24"/>
          <w:szCs w:val="24"/>
          <w:lang w:val="sr-Cyrl-RS"/>
        </w:rPr>
        <w:t>а је конзервативна, пројектован је реални раст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БДП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од 3,5%. Окосницу буџетске и фискалне политике у наредној години чине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мере растерећења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раста 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запошљавања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напуштање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тзв.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кризних мера, које су биле на снази у оквиру програма фискалне консолидације. 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Предлогом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3F413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акона 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о буџету </w:t>
      </w:r>
      <w:r w:rsidR="003F413A" w:rsidRPr="00F72849">
        <w:rPr>
          <w:rFonts w:ascii="Times New Roman" w:hAnsi="Times New Roman" w:cs="Times New Roman"/>
          <w:sz w:val="24"/>
          <w:szCs w:val="24"/>
          <w:lang w:val="sr-Cyrl-RS"/>
        </w:rPr>
        <w:t>за 2019. годину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413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рад </w:t>
      </w:r>
      <w:r w:rsidRPr="00F72849">
        <w:rPr>
          <w:rFonts w:ascii="Times New Roman" w:hAnsi="Times New Roman" w:cs="Times New Roman"/>
          <w:sz w:val="24"/>
          <w:szCs w:val="24"/>
        </w:rPr>
        <w:t>M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 је 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опредељен износ од 35 милијарди 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866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949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хиљада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, што је смањење од 3 милијарде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977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297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хиљада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односно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9,9%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буџет за 2018. годину. Смањење се одно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си на зајам за мала и средња предузећа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 динамици повлачења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завршава. Најзначајнија планирана издвајања су улагања 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од посебног значаја, за подстицај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е инвеститорима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14 милијарди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804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дина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ра, подршка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развоју предузетништва у износу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милијарду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700 милиона динара,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развоју локалне и регионале инфраструктуре у износу од милијарду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334 милиона динара.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За рад Министарства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рударства и енергетике опредељен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износ од 12 милијарди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125 милиона динара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, што представља по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већање од 359 милиона динара у односу на 2018. годину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, односно око 3%. З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а субвенције за енергетски угроженог купца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планирано је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милијарду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320 милиона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>субвенције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 xml:space="preserve"> „ЈП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Ресавица“ 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планирано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5 милијарди 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51 милион динара,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формирање и одржавање обавезних резерви нафте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и њених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деривата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природног гаса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4 милијарде 358 милиона динара.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За рад Министарства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туризма и телекомуникација опредељен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износ од 5 милијарди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621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милион динара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, што представља по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већање од милијарду 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116 милиона динара у односу на 2018. годину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тј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 xml:space="preserve"> 24,8%. Н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ајзначајније ставке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субвенције у обла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>сти туризма у износу милијарду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270 милиона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 изградњу „Гондоле“ у Београду у износу од 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>862 милиона, развој информационо-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комуникационе инфраструктуре у основним и средњим школама у износу од 381 милион динара. </w:t>
      </w:r>
    </w:p>
    <w:p w:rsidR="00200D53" w:rsidRDefault="00200D53" w:rsidP="004F4F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>Драган Угрчић, помоћник министра привреде</w:t>
      </w:r>
      <w:r w:rsidR="000222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буџета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односи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Мнистарство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 усаглашен са тренутним стањем у смислу привредних кретања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мањује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предузећима у поступку приватизације,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повећавају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одређена средства за мала и средња предузећа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F72849">
        <w:rPr>
          <w:rFonts w:ascii="Times New Roman" w:hAnsi="Times New Roman" w:cs="Times New Roman"/>
          <w:sz w:val="24"/>
          <w:szCs w:val="24"/>
        </w:rPr>
        <w:t>start up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0D53" w:rsidRPr="00F72849" w:rsidRDefault="00200D53" w:rsidP="00200D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Мр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Мирјана Филиповић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секретар у Министарству рударства и енергетике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инистарство тражило повећање средст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 намењених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заштиту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енергетски угроженог купца. 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есплатни киловат часови електричне енергије и 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одређене 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количине гаса у зимском периоду 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>за најугроженије становнике Републике Србије су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политика коју Влада и  Министарство спро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воде последњих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неколико година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Све активности 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>се спроводе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о енергетици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>. Калкулације потреба су извршене у сарадњи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са Светском банком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у претходном периоду. 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>Једна од ставки у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>разделу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рударства и енергетике 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су средства за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формирање обавез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>них резерви енергената, што је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AD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неопходна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обавеза 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за отварање П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огла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вља 15.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 буџету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AD3" w:rsidRPr="00F72849">
        <w:rPr>
          <w:rFonts w:ascii="Times New Roman" w:hAnsi="Times New Roman" w:cs="Times New Roman"/>
          <w:sz w:val="24"/>
          <w:szCs w:val="24"/>
          <w:lang w:val="sr-Cyrl-RS"/>
        </w:rPr>
        <w:t>за наредну годину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поред набавке енергената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, планирана су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средства за изградњу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капацитета за складиштење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енергената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, у складу са акционим плановима Министарства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0D53" w:rsidRPr="00F72849" w:rsidRDefault="00200D53" w:rsidP="00200D5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Рената Пинџо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помоћник министра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AD3" w:rsidRPr="00F72849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 да укупни буџет Министарства трговине, туризма и телекомуникациј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>а износи 5 милијарди 621 милион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>618 хиљада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ко 72% буџета 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односи на туриз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ам и телекомуникације. 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6216CF">
        <w:rPr>
          <w:rFonts w:ascii="Times New Roman" w:hAnsi="Times New Roman" w:cs="Times New Roman"/>
          <w:sz w:val="24"/>
          <w:szCs w:val="24"/>
          <w:lang w:val="sr-Cyrl-RS"/>
        </w:rPr>
        <w:t xml:space="preserve"> развој туризма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су п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редвиђена средства за 100 000 ваучера, за 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>грађане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остварити право на субвенционисани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 одмор у Републици Србији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. Наставља се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са програмом подстицаја домаћих туристичких агенција за организован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о довођење страних туриста у Републике Србију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, као и  пројекат изградње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унапређења туристичке инфраструктуре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предвиђено 800 милиона динара у буџету. Ист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акла је да 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издвојена за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>представљају инвестицију а не трошак,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оценила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да је важно што је 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>да Републике Србије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то препознала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>. Раст туризма и девизног прилива у овој години је између 12% и 15%, што говори да је туризам изузетно перспективна привредна грана.</w:t>
      </w:r>
    </w:p>
    <w:p w:rsidR="00246A1E" w:rsidRDefault="00200D53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дискусији, народни посланици су изнели ставове и мишљења и дали предлоге и сугестије. </w:t>
      </w:r>
    </w:p>
    <w:p w:rsidR="00407693" w:rsidRPr="00F72849" w:rsidRDefault="00246A1E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>Истакнуто је да је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 буџету за 2019. годину најважнија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текуће седнице Народне скупштине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>, јер се овај закон рефлектује на све сегменте живота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Сама припрема буџета је 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>обиман и комплексан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посао на свим нивоима власти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знето је мишљење 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народним посланицима потребно доста времена за анализу 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>и темељну расправу и изнет предлог да се за расправу о буџету на седницама одбора одвоји више времена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Оцењено је да је добро што су повећана средства за развој малих и средњих предузећа и за заштиту енергетски угроженог купца, али је изнета замерка да је два дана недовољно за расправу о осталим апропријацијама.</w:t>
      </w:r>
    </w:p>
    <w:p w:rsidR="001473D9" w:rsidRDefault="00F927F4" w:rsidP="00FF6D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Изнето је мишљење да 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>је делокруг рада Одбора веома широк, три носећа министарства су у надлежности Одбора и финансијки резултати њиховог рада се одражавају на укупан стандард грађана. Оцењено је да је у припрему буџета уложен велики рад, да су поштована начела опрезности, економичности и рационалног планирања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и изнето уверење да ће резултати бити и бољи у односу на план који је предмет начелне расправе.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>Одбор ће током 2019. године кроз разматрање тромесечних информација о раду министарстава пратитити реализацију планираних активности.</w:t>
      </w:r>
    </w:p>
    <w:p w:rsidR="00A4642F" w:rsidRDefault="00FF6DC5" w:rsidP="00FF6D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 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>Снежана Б. Петровић, Горица Гајић и мр Мирјана</w:t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Филиповић.</w:t>
      </w:r>
    </w:p>
    <w:p w:rsidR="003D611F" w:rsidRDefault="003D611F" w:rsidP="003D611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173. став 2. Пословника Народне скупштине, одлучио већином гласова да предложи Одбору за финансије, републички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буџет и контролу трошења јавних средстава да прихвати Предлог закона о буџету Републике Србије за 2018. годину, Раздео 21– Министарство привреде, Раздео 28 – Министарство рударства и енергетике и Раздео 32 – Министарство трговине, туризма и телекомуникација.</w:t>
      </w:r>
    </w:p>
    <w:p w:rsidR="003D611F" w:rsidRDefault="003D611F" w:rsidP="003D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Одбора за финансије, републички буџет и контролу трошења јавних средстава одређена је Снежана Б. Петровић, председник Одбора.</w:t>
      </w:r>
    </w:p>
    <w:p w:rsidR="003D611F" w:rsidRDefault="003D611F" w:rsidP="003D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276" w:rsidRDefault="006D1276" w:rsidP="006D12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="00022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22E9" w:rsidRPr="000222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22E9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измени и допунама Закона о привредним друштвима</w:t>
      </w:r>
    </w:p>
    <w:p w:rsidR="005F165D" w:rsidRDefault="005F165D" w:rsidP="005F165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измени и допунама Закона о привредним друштвима,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звештај Народној скупштини.</w:t>
      </w:r>
    </w:p>
    <w:p w:rsidR="00CC6AC8" w:rsidRPr="00F72849" w:rsidRDefault="00066D19" w:rsidP="0024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F07" w:rsidRPr="00F72849">
        <w:rPr>
          <w:rFonts w:ascii="Times New Roman" w:hAnsi="Times New Roman" w:cs="Times New Roman"/>
          <w:sz w:val="24"/>
          <w:szCs w:val="24"/>
          <w:lang w:val="sr-Cyrl-RS"/>
        </w:rPr>
        <w:t>Душан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Вучковић</w:t>
      </w:r>
      <w:r w:rsidR="003D61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 министра </w:t>
      </w:r>
      <w:r w:rsidR="00147F07" w:rsidRPr="00F72849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3D61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7F0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E33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E3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F188F" w:rsidRPr="00F72849">
        <w:rPr>
          <w:rFonts w:ascii="Times New Roman" w:hAnsi="Times New Roman" w:cs="Times New Roman"/>
          <w:sz w:val="24"/>
          <w:szCs w:val="24"/>
          <w:lang w:val="sr-Cyrl-RS"/>
        </w:rPr>
        <w:t>да је Влада 21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188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јуна 2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>018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усвојила нови п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рограм за </w:t>
      </w:r>
      <w:r w:rsidR="007F6FE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унапређење позиције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 на листи Светске банке 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,,Doing business list“, 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>за период 2018</w:t>
      </w:r>
      <w:r w:rsidR="00AB2E3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="00AB2E3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>. Програмом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>кционим планом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су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мере које ће 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>побољшати рејтинг Републике Србије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71E9F">
        <w:rPr>
          <w:rFonts w:ascii="Times New Roman" w:eastAsia="Times New Roman" w:hAnsi="Times New Roman" w:cs="Times New Roman"/>
          <w:sz w:val="24"/>
          <w:szCs w:val="24"/>
          <w:lang w:val="sr-Latn-RS"/>
        </w:rPr>
        <w:t>,,Doing business list“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. Заједничка група за унапређење позиције, која прати реализацију Акионог плана, изнела је 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>уверењ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18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да ће 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измене Закона о привредним друштвима,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донете у  јуну 2018. године унапредити позицију Србије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8 до 9 места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Тада је усвојен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највећи број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препорука и мера са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тада </w:t>
      </w:r>
      <w:r w:rsidR="004D70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важеће 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акционе листе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. Предлог закона се односи на још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три препоруке 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предвиђене Акционим планом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 2018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 2019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. Ј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>една се тиче употребе печата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>Елиминисање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печата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у пословању привредних друштава б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>ило је нужно да се процес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појасни и прецизира. 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еома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су важне и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зм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ене које се односе на повећање одговорности з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>аконских заступника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директора друштава 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и прокуриста 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када је у пи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тању закључивање правних послова са 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>личним интересом и повећање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трансп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>арентности података о ранијем запослењу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функцијама које су обављал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>и чланови о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>дбора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директора и надзорних одбора у 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>јавним акционарским друштвима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, као и функција које обављају у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другим привредним друштвима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Један 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измена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>односи на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>стварање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предуслова 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да се учини ефикаснијим закључивање 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>уговара о јавно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приватном партнерству 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и закључивање директних уговора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о располагању имовином велике</w:t>
      </w:r>
      <w:r w:rsidR="00FC03B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вредности, јер се </w:t>
      </w:r>
      <w:r w:rsidR="009E366C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у наредном периоду </w:t>
      </w:r>
      <w:r w:rsidR="00FC03B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очекује 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>већи број уговора у којима ће учествовати Република Србија.</w:t>
      </w:r>
      <w:r w:rsidR="008765D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>Подиже се ниво одговорности директора и свих чланова надзорног одбора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када је у питању закључивање пр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авног посла с личним интересом.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>ез обзира да ли друштво или члан друштва подноси тужбу суду за поништај правног посла и за накнаду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штете од лица које није добило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одобрење за закључење правног посла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је учествовао директор, законски заступник,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прокуриста или члан надзорног одбора, а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акав правни посао буде закључен, уводи се </w:t>
      </w:r>
      <w:r w:rsidR="007A7120" w:rsidRPr="00F72849"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120" w:rsidRPr="00F72849">
        <w:rPr>
          <w:rFonts w:ascii="Times New Roman" w:hAnsi="Times New Roman" w:cs="Times New Roman"/>
          <w:sz w:val="24"/>
          <w:szCs w:val="24"/>
          <w:lang w:val="sr-Cyrl-RS"/>
        </w:rPr>
        <w:t>поништаја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Чак и када је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одобрен правни посао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>а друштво не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>добије све релевантне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>и битне елементе правног посла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суд донесе пресуду којом ће поништити правни посао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досудити накнаду штете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 се изриче 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>мера заб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>ране обављања функције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годину дана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>, уколико је у питању лични интерес. Са становишта унапређења положаја м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ањинских акционара, битно је да, 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>за чланове одбора директора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894" w:rsidRPr="00F72849">
        <w:rPr>
          <w:rFonts w:ascii="Times New Roman" w:hAnsi="Times New Roman" w:cs="Times New Roman"/>
          <w:sz w:val="24"/>
          <w:szCs w:val="24"/>
          <w:lang w:val="sr-Cyrl-RS"/>
        </w:rPr>
        <w:t>јавних акционарских д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>руштва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мора тачно да 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>зна ко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су људи који обављају високе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менаџерске функције у јавном акционарском друштву, 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>ког су занимања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које им је </w:t>
      </w:r>
      <w:r w:rsidR="005F58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било 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 запослење 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>и да ли обављ</w:t>
      </w:r>
      <w:r w:rsidR="00DF140A" w:rsidRPr="00F72849">
        <w:rPr>
          <w:rFonts w:ascii="Times New Roman" w:hAnsi="Times New Roman" w:cs="Times New Roman"/>
          <w:sz w:val="24"/>
          <w:szCs w:val="24"/>
          <w:lang w:val="sr-Cyrl-RS"/>
        </w:rPr>
        <w:t>ају функци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је у 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другим 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привредним друштвима. 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>Када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јавног 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>акционарско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>г друштва једном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одобри уговор о јавно приватном партнерству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ко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>нцесији, са елементима располагања имовином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велике вредности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долази до измена таквог уговора, 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предмет концесије, 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накнада и рок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нема потребе да се 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>скупштина друштва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поново 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>изјашњава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>. Такође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када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се закључују директни уговори код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концесије 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у току 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>реализациј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уговора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>, који се тичу односа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приватног 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>партнера и његових финансијера, ако је одобрен јавни уговор, није потребно да се изјашњава скупштина друштва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074E" w:rsidRDefault="00CC6AC8" w:rsidP="00F507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измени</w:t>
      </w:r>
      <w:r w:rsidR="00F5074E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допунама Закона о 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>привредним друштвима,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074E" w:rsidRDefault="00F5074E" w:rsidP="00F50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F5074E" w:rsidRDefault="00F5074E" w:rsidP="00F507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4AB" w:rsidRDefault="00B26C73" w:rsidP="00246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4A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Трећа тачка дневног реда-</w:t>
      </w:r>
      <w:r w:rsidR="00A1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F69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изменама и допунама Закона о стечају</w:t>
      </w:r>
    </w:p>
    <w:p w:rsidR="00F5074E" w:rsidRPr="00F5074E" w:rsidRDefault="00F5074E" w:rsidP="00246A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изменама и допунама Закона о стечају,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скупштини.</w:t>
      </w:r>
    </w:p>
    <w:p w:rsidR="007C45B0" w:rsidRPr="00F72849" w:rsidRDefault="007C45B0" w:rsidP="00F5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</w:t>
      </w:r>
      <w:r w:rsidR="00F5074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Драган Угрчић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 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>министра привреде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B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указао 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да је циљ измена </w:t>
      </w:r>
      <w:r w:rsidR="00705DB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стечају 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усклађивање 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појединих одредаба закона ради 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унапређења позиције Србије на листи Светске банке 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Latn-RS"/>
        </w:rPr>
        <w:t>,,Doing business list“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Кључне 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>измене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везане за 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>већање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транспарентности података и резмене информације између стечајног управника и поверилаца, успостављање  додатних могућности да сви повериоци учеству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 избору стечајног управника, прил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>ком предлагања стечајног посту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>пка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тако и након именовања стеч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>ајног управника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путем давања сагласности скупштине поверилаца на избор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именовање стечајног управника и с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>тварање правног оквира за одређивање висине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предујма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 омогућавање свим повериоцима без обзира на висину потраживања да могу да поднесу планове реорганизације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5074E" w:rsidRDefault="00A4642F" w:rsidP="00F507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одлучио већином гласова да предложи Народној скупштини да прихвати 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стечају,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074E" w:rsidRDefault="00F5074E" w:rsidP="00F50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FF6DC5" w:rsidRDefault="00FF6DC5" w:rsidP="00246A1E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1D8B" w:rsidRDefault="00DF1D8B" w:rsidP="00246A1E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 тачка дневног реда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6A1E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изменама и допунама Закона о улагањима</w:t>
      </w:r>
    </w:p>
    <w:p w:rsidR="00F5074E" w:rsidRDefault="00F5074E" w:rsidP="00246A1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улагањима,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скупштини.</w:t>
      </w:r>
    </w:p>
    <w:p w:rsidR="005B5C96" w:rsidRPr="00F72849" w:rsidRDefault="00F5074E" w:rsidP="00F5074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уводним напоменама,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B5C96" w:rsidRPr="00F72849">
        <w:rPr>
          <w:rFonts w:ascii="Times New Roman" w:hAnsi="Times New Roman" w:cs="Times New Roman"/>
          <w:sz w:val="24"/>
          <w:szCs w:val="24"/>
          <w:lang w:val="sr-Cyrl-RS"/>
        </w:rPr>
        <w:t>ња Поповић, руководилац Одељења у Раз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војној агенцији Србије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68CD" w:rsidRPr="00F72849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циљ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измена стварање јасног и ефикасног институционалног оквира и 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побољшање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позиције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РС на </w:t>
      </w:r>
      <w:r w:rsidR="007168CD">
        <w:rPr>
          <w:rFonts w:ascii="Times New Roman" w:hAnsi="Times New Roman" w:cs="Times New Roman"/>
          <w:sz w:val="24"/>
          <w:szCs w:val="24"/>
        </w:rPr>
        <w:t>Doing business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листи. 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Највећи део предложених измена Закона се односи на усклађивање, односно брисање одред</w:t>
      </w:r>
      <w:r w:rsidR="007168C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ба које су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>објашњене односно у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ведене у 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системским законима, пре свега у 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 општем управном поступку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он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 локалној самоуправи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 управној инспекцији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пос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ловне тајне и други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релевантни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м з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акони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>а основу предложених измена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би да се створи јаснији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институционални оквир везано з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а доношење више различитих 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>шема државне помоћи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>ефинише да сваки давалац државне помоћи може донети свој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у шему државне помоћи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прави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лима 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за доделу државне помоћи дефинисаним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>аконом о ко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>нтроли државне помоћи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и Уредбом о правилима и критеријумима за доделу државне помоћи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Изједначавају се домаћи и страни улагачи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>у погледу царинских повластица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више различитих шема 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>државне помоћи допринеће и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>смањењу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незапослености. </w:t>
      </w:r>
    </w:p>
    <w:p w:rsidR="00246A1E" w:rsidRDefault="00246A1E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одлучио већином гласова да предложи Народној скупштини да прихвати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улагањима,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A1E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46A1E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C71" w:rsidRDefault="00246A1E" w:rsidP="007D0C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Пета тачка дневног реда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стицању права својине на земљишту, објектима и водовима Рударско-топионичарског басена РТБ Бор д.о.о, Бор</w:t>
      </w:r>
    </w:p>
    <w:p w:rsidR="00246A1E" w:rsidRPr="00246A1E" w:rsidRDefault="00246A1E" w:rsidP="00246A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стицању права својине на земљишту, објектима и водовима Рударско-топионичарског басена РТБ Бор д.о.о, Бор,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скупштини.</w:t>
      </w:r>
    </w:p>
    <w:p w:rsidR="00C96968" w:rsidRDefault="00FC0929" w:rsidP="0024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Драган Угрчић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, помоћник министра привреде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1ABB" w:rsidRPr="00541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1ABB" w:rsidRPr="00F72849">
        <w:rPr>
          <w:rFonts w:ascii="Times New Roman" w:hAnsi="Times New Roman" w:cs="Times New Roman"/>
          <w:sz w:val="24"/>
          <w:szCs w:val="24"/>
          <w:lang w:val="sr-Cyrl-RS"/>
        </w:rPr>
        <w:t>указао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>Предлогом закона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процедуре и услови и начин на који 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РТБ Бор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стиче прав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својине на земљишту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на објектима који си изграђени на том земљишту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на 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земљишту без изграђених објек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>Предлогом закона се даљ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услови као и начин стри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цања права својине 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РТБ Бора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на водовима. Јед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>ан од разлога за предлагања овог з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акона јесте потреба да се уради статус објеката и земљишта 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„РТБ Бор“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на начин 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својствен самој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сврси објеката. Потписан је уговор о стратешком партнерству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>. Д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а би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успешно о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>кончао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приватизације „Рударско Топионичарског Б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асена Бор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>“, н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еопходно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да се ур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ди 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мовинско правно ст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ање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A1E" w:rsidRDefault="004311AF" w:rsidP="00246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одлучио већином гласова да предложи Народној скупштини да прихвати 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>Предлог закона о стицању права својине на земљишту, објектима и водовима Рударско-топионича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>рског басена РТБ Бор д.о.о, Бор,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A1E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FF6DC5" w:rsidRDefault="00FF6DC5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1AF" w:rsidRDefault="004311AF" w:rsidP="004311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Шеста тачка дневног реда-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DC5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</w:t>
      </w: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</w:p>
    <w:p w:rsidR="00FF6DC5" w:rsidRPr="00FF6DC5" w:rsidRDefault="00FF6DC5" w:rsidP="00FF6D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ток“а,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скупштини.</w:t>
      </w:r>
    </w:p>
    <w:p w:rsidR="00435C8C" w:rsidRPr="00F72849" w:rsidRDefault="00435C8C" w:rsidP="003A6F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9E12D8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056C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мр Мирјана</w:t>
      </w:r>
      <w:r w:rsidR="009A64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>Филиповић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, државни секретар у Министарству рударства и енергетике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да се измене и допуне Закона  односе на наставак пројекта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2014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056CB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ројекат 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>Јужни ток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>у међувремену је  заустављен, али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 сада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поново актуелан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CBA" w:rsidRP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</w:t>
      </w:r>
      <w:r w:rsidR="00056CB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активира се с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ве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што је урађено у претходном 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да се пројекат реализује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.  П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ројекат се више неће звати 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„Ј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>ужни ток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>, већ „М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>агистрални гасовод од границе Бугарске п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реко Србије до границе Мађарске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. Неопходно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сва законска решења 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>за имовинско правну експропријацију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 остали елементи који су донети у претходном периоду 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користе </w:t>
      </w:r>
      <w:r w:rsidR="00C61C59" w:rsidRPr="00F72849">
        <w:rPr>
          <w:rFonts w:ascii="Times New Roman" w:hAnsi="Times New Roman" w:cs="Times New Roman"/>
          <w:sz w:val="24"/>
          <w:szCs w:val="24"/>
          <w:lang w:val="sr-Cyrl-RS"/>
        </w:rPr>
        <w:t>за реализацију новог пројекта. П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ројекат 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>је усклађен са Т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рећим пакетом директива 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>Европске уније у области енергетике.</w:t>
      </w:r>
    </w:p>
    <w:p w:rsidR="003D611F" w:rsidRDefault="004311AF" w:rsidP="003A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D775A7">
        <w:rPr>
          <w:rFonts w:ascii="Times New Roman" w:hAnsi="Times New Roman" w:cs="Times New Roman"/>
          <w:sz w:val="24"/>
          <w:szCs w:val="24"/>
          <w:lang w:val="sr-Cyrl-CS"/>
        </w:rPr>
        <w:t xml:space="preserve">       У расправи је п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>остављено је питање да ли је преур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>ањено утврђивање јавног интереса и експропријација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земљишта на траси гасовода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>односно да ли је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извесно да ће 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гасовод 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>„Јужни ток“ проћи кроз нашу земљу,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 је за процес експропријације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>потребно много новца.</w:t>
      </w:r>
    </w:p>
    <w:p w:rsidR="003D611F" w:rsidRDefault="00C8266C" w:rsidP="00C8266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У одговору на постављено питање, мр Мирјана Филиповић је истакла да  су све активности усклађене са одређеним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роковима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 ради се о стратешком пројекту диверсификације снабдевања гасом за Републику Србију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ознато је да када се крене у експропријацију  увек има проблема,  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>тако да доношење закона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није преурањено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>, већ је неопходна активн</w:t>
      </w:r>
      <w:bookmarkStart w:id="0" w:name="_GoBack"/>
      <w:bookmarkEnd w:id="0"/>
      <w:r w:rsidR="003A6FC7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6FC7" w:rsidRDefault="003A6FC7" w:rsidP="00C8266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су учествовале Горица Гајић и мр Мирјана Филиповић.</w:t>
      </w:r>
    </w:p>
    <w:p w:rsidR="00FF6DC5" w:rsidRDefault="004311AF" w:rsidP="00FF6D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одлучио већином гласова да предложи Народној скупштини да прихвати 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>порт природног гаса „Јужни ток“,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6DC5" w:rsidRDefault="00FF6DC5" w:rsidP="00FF6D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FF6DC5" w:rsidRDefault="004311AF" w:rsidP="00710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7143D6" w:rsidRPr="00F72849" w:rsidRDefault="007143D6" w:rsidP="007143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Седма тачка дневног реда-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F72849" w:rsidRPr="00F72849" w:rsidRDefault="00974F78" w:rsidP="003A6FC7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>У оквиру ове тачке</w:t>
      </w:r>
      <w:r w:rsidR="008F1B6C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предлога</w:t>
      </w:r>
      <w:r w:rsidR="008F1B6C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ни дискусије</w:t>
      </w:r>
      <w:r w:rsidR="008F1B6C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1B6C" w:rsidRDefault="00F72849" w:rsidP="00F72849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>закључена</w:t>
      </w:r>
      <w:proofErr w:type="spellEnd"/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 часова и 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DC5" w:rsidRDefault="00FF6DC5" w:rsidP="00FF6DC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8F1B6C" w:rsidRPr="00F72849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1B6C" w:rsidRPr="00F72849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F728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8F1B6C" w:rsidRPr="00F72849" w:rsidTr="003A6FC7">
        <w:tc>
          <w:tcPr>
            <w:tcW w:w="4788" w:type="dxa"/>
          </w:tcPr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Балаћ</w:t>
            </w: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ПРЕДСЕДНИК</w:t>
            </w: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F6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Снежана Б. Петровић</w:t>
            </w:r>
          </w:p>
        </w:tc>
      </w:tr>
    </w:tbl>
    <w:p w:rsidR="007143D6" w:rsidRPr="00F72849" w:rsidRDefault="007143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143D6" w:rsidRPr="00F72849" w:rsidSect="000222E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25" w:rsidRDefault="000A0A25" w:rsidP="000222E9">
      <w:pPr>
        <w:spacing w:after="0" w:line="240" w:lineRule="auto"/>
      </w:pPr>
      <w:r>
        <w:separator/>
      </w:r>
    </w:p>
  </w:endnote>
  <w:endnote w:type="continuationSeparator" w:id="0">
    <w:p w:rsidR="000A0A25" w:rsidRDefault="000A0A25" w:rsidP="000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25" w:rsidRDefault="000A0A25" w:rsidP="000222E9">
      <w:pPr>
        <w:spacing w:after="0" w:line="240" w:lineRule="auto"/>
      </w:pPr>
      <w:r>
        <w:separator/>
      </w:r>
    </w:p>
  </w:footnote>
  <w:footnote w:type="continuationSeparator" w:id="0">
    <w:p w:rsidR="000A0A25" w:rsidRDefault="000A0A25" w:rsidP="0002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2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6FC7" w:rsidRDefault="003A6F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6FC7" w:rsidRDefault="003A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B6"/>
    <w:rsid w:val="000154C7"/>
    <w:rsid w:val="000222E9"/>
    <w:rsid w:val="00022AAE"/>
    <w:rsid w:val="00040FAA"/>
    <w:rsid w:val="000502F3"/>
    <w:rsid w:val="00051F75"/>
    <w:rsid w:val="00056A13"/>
    <w:rsid w:val="00056CBA"/>
    <w:rsid w:val="00062C94"/>
    <w:rsid w:val="00066D19"/>
    <w:rsid w:val="00097236"/>
    <w:rsid w:val="000A0A25"/>
    <w:rsid w:val="000A433A"/>
    <w:rsid w:val="000B5B56"/>
    <w:rsid w:val="000C2BC8"/>
    <w:rsid w:val="00105F86"/>
    <w:rsid w:val="00112E95"/>
    <w:rsid w:val="00116B73"/>
    <w:rsid w:val="00120C34"/>
    <w:rsid w:val="0012751B"/>
    <w:rsid w:val="00131C9B"/>
    <w:rsid w:val="0013246F"/>
    <w:rsid w:val="001473D9"/>
    <w:rsid w:val="00147F07"/>
    <w:rsid w:val="001770DD"/>
    <w:rsid w:val="00186F3B"/>
    <w:rsid w:val="00190B58"/>
    <w:rsid w:val="001A7A44"/>
    <w:rsid w:val="001B1460"/>
    <w:rsid w:val="001E24F6"/>
    <w:rsid w:val="00200D53"/>
    <w:rsid w:val="00226993"/>
    <w:rsid w:val="00246A1E"/>
    <w:rsid w:val="00260987"/>
    <w:rsid w:val="00281562"/>
    <w:rsid w:val="002D3DAE"/>
    <w:rsid w:val="002E1AA4"/>
    <w:rsid w:val="002F752B"/>
    <w:rsid w:val="003054A4"/>
    <w:rsid w:val="00323F72"/>
    <w:rsid w:val="003A0096"/>
    <w:rsid w:val="003A6FC7"/>
    <w:rsid w:val="003B1736"/>
    <w:rsid w:val="003B43A6"/>
    <w:rsid w:val="003C1944"/>
    <w:rsid w:val="003C2535"/>
    <w:rsid w:val="003D611F"/>
    <w:rsid w:val="003F2A34"/>
    <w:rsid w:val="003F413A"/>
    <w:rsid w:val="00406B92"/>
    <w:rsid w:val="00407693"/>
    <w:rsid w:val="004311AF"/>
    <w:rsid w:val="0043532E"/>
    <w:rsid w:val="00435C8C"/>
    <w:rsid w:val="0049738F"/>
    <w:rsid w:val="004D01D4"/>
    <w:rsid w:val="004D0849"/>
    <w:rsid w:val="004D20EB"/>
    <w:rsid w:val="004D70D8"/>
    <w:rsid w:val="004F3902"/>
    <w:rsid w:val="004F4F31"/>
    <w:rsid w:val="00515511"/>
    <w:rsid w:val="00524ACD"/>
    <w:rsid w:val="00541ABB"/>
    <w:rsid w:val="00550186"/>
    <w:rsid w:val="00571799"/>
    <w:rsid w:val="005934A1"/>
    <w:rsid w:val="005B2C01"/>
    <w:rsid w:val="005B5C96"/>
    <w:rsid w:val="005D22C4"/>
    <w:rsid w:val="005D5CD4"/>
    <w:rsid w:val="005F165D"/>
    <w:rsid w:val="005F5894"/>
    <w:rsid w:val="005F7BD7"/>
    <w:rsid w:val="0060301E"/>
    <w:rsid w:val="00604AAF"/>
    <w:rsid w:val="00612B3C"/>
    <w:rsid w:val="00614AE4"/>
    <w:rsid w:val="00620DF6"/>
    <w:rsid w:val="00621414"/>
    <w:rsid w:val="006216CF"/>
    <w:rsid w:val="006251B1"/>
    <w:rsid w:val="00636BDC"/>
    <w:rsid w:val="0065001E"/>
    <w:rsid w:val="0065554E"/>
    <w:rsid w:val="00690A16"/>
    <w:rsid w:val="00692AD3"/>
    <w:rsid w:val="006B7806"/>
    <w:rsid w:val="006C3EB6"/>
    <w:rsid w:val="006C54AB"/>
    <w:rsid w:val="006D1276"/>
    <w:rsid w:val="006E3F53"/>
    <w:rsid w:val="00705DB2"/>
    <w:rsid w:val="007109A3"/>
    <w:rsid w:val="007143D6"/>
    <w:rsid w:val="007168CD"/>
    <w:rsid w:val="00723085"/>
    <w:rsid w:val="007275F7"/>
    <w:rsid w:val="00762948"/>
    <w:rsid w:val="00763887"/>
    <w:rsid w:val="00763937"/>
    <w:rsid w:val="00777873"/>
    <w:rsid w:val="00781973"/>
    <w:rsid w:val="007A12B1"/>
    <w:rsid w:val="007A7120"/>
    <w:rsid w:val="007B08FB"/>
    <w:rsid w:val="007C3E03"/>
    <w:rsid w:val="007C45B0"/>
    <w:rsid w:val="007D0C71"/>
    <w:rsid w:val="007F6FEF"/>
    <w:rsid w:val="00805D29"/>
    <w:rsid w:val="008747BC"/>
    <w:rsid w:val="008765D5"/>
    <w:rsid w:val="0087755D"/>
    <w:rsid w:val="00887F89"/>
    <w:rsid w:val="008A0019"/>
    <w:rsid w:val="008F1B6C"/>
    <w:rsid w:val="00907ABB"/>
    <w:rsid w:val="00921879"/>
    <w:rsid w:val="00974F78"/>
    <w:rsid w:val="0098226D"/>
    <w:rsid w:val="009A64DA"/>
    <w:rsid w:val="009A6DDB"/>
    <w:rsid w:val="009C0823"/>
    <w:rsid w:val="009D1B69"/>
    <w:rsid w:val="009E12D8"/>
    <w:rsid w:val="009E366C"/>
    <w:rsid w:val="009E5087"/>
    <w:rsid w:val="009F1518"/>
    <w:rsid w:val="00A11F69"/>
    <w:rsid w:val="00A4642F"/>
    <w:rsid w:val="00A500DA"/>
    <w:rsid w:val="00A619C6"/>
    <w:rsid w:val="00A65BF9"/>
    <w:rsid w:val="00A82C94"/>
    <w:rsid w:val="00AB2E33"/>
    <w:rsid w:val="00AF0CF2"/>
    <w:rsid w:val="00AF188F"/>
    <w:rsid w:val="00AF2F6F"/>
    <w:rsid w:val="00B26C73"/>
    <w:rsid w:val="00B42BC9"/>
    <w:rsid w:val="00B53158"/>
    <w:rsid w:val="00B555CB"/>
    <w:rsid w:val="00B92116"/>
    <w:rsid w:val="00BA75D1"/>
    <w:rsid w:val="00BC645A"/>
    <w:rsid w:val="00C07E5D"/>
    <w:rsid w:val="00C105AB"/>
    <w:rsid w:val="00C22DB9"/>
    <w:rsid w:val="00C53368"/>
    <w:rsid w:val="00C61C59"/>
    <w:rsid w:val="00C71E9F"/>
    <w:rsid w:val="00C8266C"/>
    <w:rsid w:val="00C96968"/>
    <w:rsid w:val="00CC6AC8"/>
    <w:rsid w:val="00CF2790"/>
    <w:rsid w:val="00D3006A"/>
    <w:rsid w:val="00D374B5"/>
    <w:rsid w:val="00D42B4E"/>
    <w:rsid w:val="00D433DD"/>
    <w:rsid w:val="00D50F41"/>
    <w:rsid w:val="00D717D9"/>
    <w:rsid w:val="00D775A7"/>
    <w:rsid w:val="00DA678B"/>
    <w:rsid w:val="00DC74B8"/>
    <w:rsid w:val="00DE28AF"/>
    <w:rsid w:val="00DF13E1"/>
    <w:rsid w:val="00DF140A"/>
    <w:rsid w:val="00DF1D8B"/>
    <w:rsid w:val="00DF3828"/>
    <w:rsid w:val="00DF7B59"/>
    <w:rsid w:val="00E136FF"/>
    <w:rsid w:val="00E67E15"/>
    <w:rsid w:val="00E94DE7"/>
    <w:rsid w:val="00ED281C"/>
    <w:rsid w:val="00ED3821"/>
    <w:rsid w:val="00F430A9"/>
    <w:rsid w:val="00F5074E"/>
    <w:rsid w:val="00F65040"/>
    <w:rsid w:val="00F72849"/>
    <w:rsid w:val="00F927F4"/>
    <w:rsid w:val="00FC03BB"/>
    <w:rsid w:val="00FC0929"/>
    <w:rsid w:val="00FC354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18</cp:revision>
  <cp:lastPrinted>2018-12-13T13:48:00Z</cp:lastPrinted>
  <dcterms:created xsi:type="dcterms:W3CDTF">2018-12-13T13:58:00Z</dcterms:created>
  <dcterms:modified xsi:type="dcterms:W3CDTF">2018-12-25T13:26:00Z</dcterms:modified>
</cp:coreProperties>
</file>